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C12890" w:rsidRDefault="00744113" w:rsidP="000C1525">
      <w:pPr>
        <w:tabs>
          <w:tab w:val="left" w:pos="6840"/>
        </w:tabs>
        <w:spacing w:after="0" w:line="360" w:lineRule="auto"/>
        <w:jc w:val="both"/>
        <w:outlineLvl w:val="5"/>
        <w:rPr>
          <w:rFonts w:ascii="Helvetica" w:hAnsi="Helvetica" w:cs="Helvetica"/>
          <w:b/>
          <w:color w:val="4BACC6" w:themeColor="accent5"/>
          <w:sz w:val="24"/>
          <w:szCs w:val="24"/>
        </w:rPr>
      </w:pPr>
    </w:p>
    <w:p w:rsidR="0042461A" w:rsidRPr="00C12890" w:rsidRDefault="00864763" w:rsidP="000234C8">
      <w:pPr>
        <w:spacing w:after="0" w:line="360" w:lineRule="auto"/>
        <w:jc w:val="right"/>
        <w:rPr>
          <w:rFonts w:ascii="Helvetica" w:hAnsi="Helvetica" w:cs="Helvetica"/>
          <w:color w:val="4BACC6" w:themeColor="accent5"/>
        </w:rPr>
      </w:pPr>
      <w:r w:rsidRPr="00C12890">
        <w:rPr>
          <w:rFonts w:ascii="Helvetica" w:hAnsi="Helvetica" w:cs="Helvetica"/>
          <w:color w:val="4BACC6" w:themeColor="accent5"/>
          <w:sz w:val="24"/>
          <w:szCs w:val="24"/>
        </w:rPr>
        <w:t>San</w:t>
      </w:r>
      <w:r w:rsidR="00C64855" w:rsidRPr="00C12890">
        <w:rPr>
          <w:rFonts w:ascii="Helvetica" w:hAnsi="Helvetica" w:cs="Helvetica"/>
          <w:color w:val="4BACC6" w:themeColor="accent5"/>
          <w:sz w:val="24"/>
          <w:szCs w:val="24"/>
        </w:rPr>
        <w:t xml:space="preserve"> Luis Potosí, S.L.P., </w:t>
      </w:r>
      <w:r w:rsidR="002C39B0">
        <w:rPr>
          <w:rFonts w:ascii="Helvetica" w:hAnsi="Helvetica" w:cs="Helvetica"/>
          <w:color w:val="4BACC6" w:themeColor="accent5"/>
          <w:sz w:val="24"/>
          <w:szCs w:val="24"/>
        </w:rPr>
        <w:t xml:space="preserve">veintidós </w:t>
      </w:r>
      <w:r w:rsidR="00E84940" w:rsidRPr="00C12890">
        <w:rPr>
          <w:rFonts w:ascii="Helvetica" w:hAnsi="Helvetica" w:cs="Helvetica"/>
          <w:color w:val="4BACC6" w:themeColor="accent5"/>
          <w:sz w:val="24"/>
          <w:szCs w:val="24"/>
        </w:rPr>
        <w:t xml:space="preserve">de </w:t>
      </w:r>
      <w:r w:rsidR="00F62341" w:rsidRPr="00C12890">
        <w:rPr>
          <w:rFonts w:ascii="Helvetica" w:hAnsi="Helvetica" w:cs="Helvetica"/>
          <w:color w:val="4BACC6" w:themeColor="accent5"/>
          <w:sz w:val="24"/>
          <w:szCs w:val="24"/>
        </w:rPr>
        <w:t>mayo</w:t>
      </w:r>
      <w:r w:rsidR="001A74F9" w:rsidRPr="00C12890">
        <w:rPr>
          <w:rFonts w:ascii="Helvetica" w:hAnsi="Helvetica" w:cs="Helvetica"/>
          <w:color w:val="4BACC6" w:themeColor="accent5"/>
          <w:sz w:val="24"/>
          <w:szCs w:val="24"/>
        </w:rPr>
        <w:t xml:space="preserve"> </w:t>
      </w:r>
      <w:r w:rsidR="00C64855" w:rsidRPr="00C12890">
        <w:rPr>
          <w:rFonts w:ascii="Helvetica" w:hAnsi="Helvetica" w:cs="Helvetica"/>
          <w:color w:val="4BACC6" w:themeColor="accent5"/>
          <w:sz w:val="24"/>
          <w:szCs w:val="24"/>
        </w:rPr>
        <w:t>de dos mil dieci</w:t>
      </w:r>
      <w:r w:rsidR="00606EF1" w:rsidRPr="00C12890">
        <w:rPr>
          <w:rFonts w:ascii="Helvetica" w:hAnsi="Helvetica" w:cs="Helvetica"/>
          <w:color w:val="4BACC6" w:themeColor="accent5"/>
          <w:sz w:val="24"/>
          <w:szCs w:val="24"/>
        </w:rPr>
        <w:t>ocho</w:t>
      </w:r>
      <w:r w:rsidRPr="00C12890">
        <w:rPr>
          <w:rFonts w:ascii="Helvetica" w:hAnsi="Helvetica" w:cs="Helvetica"/>
          <w:color w:val="4BACC6" w:themeColor="accent5"/>
        </w:rPr>
        <w:t>.</w:t>
      </w:r>
    </w:p>
    <w:p w:rsidR="00A115B1" w:rsidRPr="00C12890" w:rsidRDefault="00A115B1" w:rsidP="001C34D4">
      <w:pPr>
        <w:spacing w:after="0" w:line="360" w:lineRule="auto"/>
        <w:ind w:firstLine="709"/>
        <w:jc w:val="both"/>
        <w:rPr>
          <w:rFonts w:ascii="Helvetica" w:hAnsi="Helvetica" w:cs="Helvetica"/>
          <w:b/>
          <w:color w:val="4BACC6" w:themeColor="accent5"/>
          <w:sz w:val="24"/>
          <w:szCs w:val="24"/>
        </w:rPr>
      </w:pPr>
    </w:p>
    <w:p w:rsidR="00DB1ABE" w:rsidRPr="00C12890" w:rsidRDefault="00E84940" w:rsidP="00E84940">
      <w:pPr>
        <w:spacing w:line="360" w:lineRule="auto"/>
        <w:jc w:val="both"/>
        <w:rPr>
          <w:rFonts w:ascii="Helvetica" w:hAnsi="Helvetica" w:cs="Helvetica"/>
          <w:color w:val="4BACC6" w:themeColor="accent5"/>
          <w:sz w:val="24"/>
          <w:szCs w:val="24"/>
        </w:rPr>
      </w:pPr>
      <w:bookmarkStart w:id="0" w:name="_Hlk484605617"/>
      <w:bookmarkEnd w:id="0"/>
      <w:r w:rsidRPr="00C12890">
        <w:rPr>
          <w:rFonts w:ascii="Helvetica" w:eastAsia="Batang" w:hAnsi="Helvetica" w:cs="Helvetica"/>
          <w:color w:val="4BACC6" w:themeColor="accent5"/>
          <w:sz w:val="24"/>
          <w:szCs w:val="24"/>
        </w:rPr>
        <w:t>V</w:t>
      </w:r>
      <w:r w:rsidR="000234C8" w:rsidRPr="00C12890">
        <w:rPr>
          <w:rFonts w:ascii="Helvetica" w:eastAsia="Batang" w:hAnsi="Helvetica" w:cs="Helvetica"/>
          <w:color w:val="4BACC6" w:themeColor="accent5"/>
          <w:sz w:val="24"/>
          <w:szCs w:val="24"/>
        </w:rPr>
        <w:t>isto el estado que guardan los presentes autos</w:t>
      </w:r>
      <w:r w:rsidR="00DB1ABE" w:rsidRPr="00C12890">
        <w:rPr>
          <w:rFonts w:ascii="Helvetica" w:eastAsia="Batang" w:hAnsi="Helvetica" w:cs="Helvetica"/>
          <w:color w:val="4BACC6" w:themeColor="accent5"/>
          <w:sz w:val="24"/>
          <w:szCs w:val="24"/>
        </w:rPr>
        <w:t>,</w:t>
      </w:r>
      <w:r w:rsidR="000234C8" w:rsidRPr="00C12890">
        <w:rPr>
          <w:rFonts w:ascii="Helvetica" w:eastAsia="Batang" w:hAnsi="Helvetica" w:cs="Helvetica"/>
          <w:color w:val="4BACC6" w:themeColor="accent5"/>
          <w:sz w:val="24"/>
          <w:szCs w:val="24"/>
        </w:rPr>
        <w:t xml:space="preserve"> y de una revisión a las constancias que integran el expediente, y dado que</w:t>
      </w:r>
      <w:r w:rsidR="00DB1ABE" w:rsidRPr="00C12890">
        <w:rPr>
          <w:rFonts w:ascii="Helvetica" w:eastAsia="Batang" w:hAnsi="Helvetica" w:cs="Helvetica"/>
          <w:color w:val="4BACC6" w:themeColor="accent5"/>
          <w:sz w:val="24"/>
          <w:szCs w:val="24"/>
        </w:rPr>
        <w:t xml:space="preserve"> </w:t>
      </w:r>
      <w:r w:rsidR="00DB1ABE" w:rsidRPr="00C12890">
        <w:rPr>
          <w:rFonts w:ascii="Helvetica" w:hAnsi="Helvetica" w:cs="Helvetica"/>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sidRPr="00C12890">
        <w:rPr>
          <w:rFonts w:ascii="Helvetica" w:hAnsi="Helvetica" w:cs="Helvetica"/>
          <w:color w:val="4BACC6" w:themeColor="accent5"/>
          <w:sz w:val="24"/>
          <w:szCs w:val="24"/>
        </w:rPr>
        <w:t xml:space="preserve">solución </w:t>
      </w:r>
      <w:r w:rsidR="00DB1ABE" w:rsidRPr="00C12890">
        <w:rPr>
          <w:rFonts w:ascii="Helvetica" w:hAnsi="Helvetica" w:cs="Helvetica"/>
          <w:color w:val="4BACC6" w:themeColor="accent5"/>
          <w:sz w:val="24"/>
          <w:szCs w:val="24"/>
        </w:rPr>
        <w:t>dictada en el presente asunto, con las constancias que obran en los presentes autos</w:t>
      </w:r>
      <w:r w:rsidR="003443D3" w:rsidRPr="00C12890">
        <w:rPr>
          <w:rFonts w:ascii="Helvetica" w:hAnsi="Helvetica" w:cs="Helvetica"/>
          <w:color w:val="4BACC6" w:themeColor="accent5"/>
          <w:sz w:val="24"/>
          <w:szCs w:val="24"/>
        </w:rPr>
        <w:t>.</w:t>
      </w:r>
    </w:p>
    <w:p w:rsidR="002C39B0" w:rsidRDefault="002C39B0" w:rsidP="002C39B0">
      <w:pPr>
        <w:spacing w:line="360" w:lineRule="auto"/>
        <w:jc w:val="both"/>
        <w:rPr>
          <w:rFonts w:ascii="Helvetica" w:hAnsi="Helvetica" w:cs="Helvetica"/>
          <w:color w:val="4BACC6" w:themeColor="accent5"/>
          <w:sz w:val="24"/>
          <w:szCs w:val="24"/>
        </w:rPr>
      </w:pPr>
      <w:r>
        <w:rPr>
          <w:rFonts w:ascii="Helvetica" w:hAnsi="Helvetica" w:cs="Helvetica"/>
          <w:color w:val="4BACC6" w:themeColor="accent5"/>
          <w:sz w:val="24"/>
          <w:szCs w:val="24"/>
        </w:rPr>
        <w:t>Por lo que</w:t>
      </w:r>
      <w:r w:rsidR="00236B7C" w:rsidRPr="00C12890">
        <w:rPr>
          <w:rFonts w:ascii="Helvetica" w:hAnsi="Helvetica" w:cs="Helvetica"/>
          <w:color w:val="4BACC6" w:themeColor="accent5"/>
          <w:sz w:val="24"/>
          <w:szCs w:val="24"/>
        </w:rPr>
        <w:t>,</w:t>
      </w:r>
      <w:r>
        <w:rPr>
          <w:rFonts w:ascii="Helvetica" w:hAnsi="Helvetica" w:cs="Helvetica"/>
          <w:color w:val="4BACC6" w:themeColor="accent5"/>
          <w:sz w:val="24"/>
          <w:szCs w:val="24"/>
        </w:rPr>
        <w:t xml:space="preserve"> será necesario insertar los efectos de la resolución en análisis:</w:t>
      </w:r>
      <w:r w:rsidR="00236B7C" w:rsidRPr="00C12890">
        <w:rPr>
          <w:rFonts w:ascii="Helvetica" w:hAnsi="Helvetica" w:cs="Helvetica"/>
          <w:color w:val="4BACC6" w:themeColor="accent5"/>
          <w:sz w:val="24"/>
          <w:szCs w:val="24"/>
        </w:rPr>
        <w:t xml:space="preserve"> </w:t>
      </w:r>
    </w:p>
    <w:p w:rsidR="002F7A73" w:rsidRDefault="002F7A73" w:rsidP="002C39B0">
      <w:pPr>
        <w:spacing w:line="360" w:lineRule="auto"/>
        <w:jc w:val="both"/>
        <w:rPr>
          <w:rFonts w:ascii="Helvetica" w:hAnsi="Helvetica" w:cs="Helvetica"/>
          <w:color w:val="4BACC6" w:themeColor="accent5"/>
          <w:sz w:val="24"/>
          <w:szCs w:val="24"/>
        </w:rPr>
      </w:pPr>
    </w:p>
    <w:p w:rsidR="002C39B0" w:rsidRPr="002F7A73" w:rsidRDefault="002C39B0" w:rsidP="002F7A73">
      <w:pPr>
        <w:spacing w:line="240" w:lineRule="auto"/>
        <w:ind w:left="708"/>
        <w:jc w:val="both"/>
        <w:rPr>
          <w:rFonts w:ascii="Helvetica" w:hAnsi="Helvetica" w:cs="Helvetica"/>
          <w:color w:val="4BACC6" w:themeColor="accent5"/>
        </w:rPr>
      </w:pPr>
      <w:r w:rsidRPr="002F7A73">
        <w:rPr>
          <w:rFonts w:ascii="Helvetica" w:hAnsi="Helvetica" w:cs="Helvetica"/>
          <w:color w:val="4BACC6" w:themeColor="accent5"/>
        </w:rPr>
        <w:t xml:space="preserve">Por las consideraciones expuestas, esta Comisión Estatal de Garantía de Acceso a la Información Pública de conformidad con el artículo 175, fracción III de la Ley de Transparencia y Acceso a la Información Pública del Estado, </w:t>
      </w:r>
      <w:r w:rsidRPr="002F7A73">
        <w:rPr>
          <w:rFonts w:ascii="Helvetica" w:hAnsi="Helvetica" w:cs="Helvetica"/>
          <w:b/>
          <w:color w:val="4BACC6" w:themeColor="accent5"/>
        </w:rPr>
        <w:t xml:space="preserve">MODIFICA </w:t>
      </w:r>
      <w:r w:rsidRPr="002F7A73">
        <w:rPr>
          <w:rFonts w:ascii="Helvetica" w:hAnsi="Helvetica" w:cs="Helvetica"/>
          <w:color w:val="4BACC6" w:themeColor="accent5"/>
        </w:rPr>
        <w:t>la respuesta proporcionada, por el ente obligado y lo conmina para que:</w:t>
      </w:r>
    </w:p>
    <w:p w:rsidR="002C39B0" w:rsidRPr="002F7A73" w:rsidRDefault="002C39B0" w:rsidP="002F7A73">
      <w:pPr>
        <w:spacing w:line="240" w:lineRule="auto"/>
        <w:ind w:left="708"/>
        <w:jc w:val="both"/>
        <w:rPr>
          <w:rFonts w:ascii="Helvetica" w:hAnsi="Helvetica" w:cs="Helvetica"/>
          <w:color w:val="4BACC6" w:themeColor="accent5"/>
        </w:rPr>
      </w:pPr>
      <w:r w:rsidRPr="002F7A73">
        <w:rPr>
          <w:rFonts w:ascii="Helvetica" w:hAnsi="Helvetica" w:cs="Helvetica"/>
          <w:b/>
          <w:color w:val="4BACC6" w:themeColor="accent5"/>
        </w:rPr>
        <w:t xml:space="preserve">6.3.1 </w:t>
      </w:r>
      <w:r w:rsidRPr="002F7A73">
        <w:rPr>
          <w:rFonts w:ascii="Helvetica" w:hAnsi="Helvetica" w:cs="Helvetica"/>
          <w:color w:val="4BACC6" w:themeColor="accent5"/>
        </w:rPr>
        <w:t>Realice una búsqueda exhaustiva de la información solicitada</w:t>
      </w:r>
    </w:p>
    <w:p w:rsidR="002C39B0" w:rsidRPr="002F7A73" w:rsidRDefault="002C39B0" w:rsidP="002F7A73">
      <w:pPr>
        <w:spacing w:line="240" w:lineRule="auto"/>
        <w:ind w:left="708"/>
        <w:jc w:val="both"/>
        <w:rPr>
          <w:rFonts w:ascii="Helvetica" w:hAnsi="Helvetica" w:cs="Helvetica"/>
          <w:color w:val="4BACC6" w:themeColor="accent5"/>
        </w:rPr>
      </w:pPr>
      <w:r w:rsidRPr="002F7A73">
        <w:rPr>
          <w:rFonts w:ascii="Helvetica" w:hAnsi="Helvetica" w:cs="Helvetica"/>
          <w:b/>
          <w:color w:val="4BACC6" w:themeColor="accent5"/>
        </w:rPr>
        <w:t xml:space="preserve">6.3.2 </w:t>
      </w:r>
      <w:r w:rsidRPr="002F7A73">
        <w:rPr>
          <w:rFonts w:ascii="Helvetica" w:hAnsi="Helvetica" w:cs="Helvetica"/>
          <w:color w:val="4BACC6" w:themeColor="accent5"/>
        </w:rPr>
        <w:t>En el caso de que no sea localizada y ésta tuviera que existir, ordene su generación de ser materialmente posible.</w:t>
      </w:r>
    </w:p>
    <w:p w:rsidR="002C39B0" w:rsidRPr="002F7A73" w:rsidRDefault="002C39B0" w:rsidP="002F7A73">
      <w:pPr>
        <w:spacing w:line="240" w:lineRule="auto"/>
        <w:ind w:left="708"/>
        <w:jc w:val="both"/>
        <w:rPr>
          <w:rFonts w:ascii="Helvetica" w:hAnsi="Helvetica" w:cs="Helvetica"/>
          <w:color w:val="4BACC6" w:themeColor="accent5"/>
        </w:rPr>
      </w:pPr>
      <w:r w:rsidRPr="002F7A73">
        <w:rPr>
          <w:rFonts w:ascii="Helvetica" w:hAnsi="Helvetica" w:cs="Helvetica"/>
          <w:b/>
          <w:color w:val="4BACC6" w:themeColor="accent5"/>
        </w:rPr>
        <w:t xml:space="preserve">6.3.3 </w:t>
      </w:r>
      <w:r w:rsidRPr="002F7A73">
        <w:rPr>
          <w:rFonts w:ascii="Helvetica" w:hAnsi="Helvetica" w:cs="Helvetica"/>
          <w:color w:val="4BACC6" w:themeColor="accent5"/>
        </w:rPr>
        <w:t>Previa acreditación de la imposibilidad de su generación, expedir una resolución que confirme su inexistencia, la que deberá contener los elementos mínimos que permitan al solicitante tener la certeza de criterio de búsqueda exhaustivo utilizado, y en el que señalen las circunstancias que generaron la inexistencia de la información o en su caso, exponer de manera</w:t>
      </w:r>
      <w:r w:rsidR="002F7A73" w:rsidRPr="002F7A73">
        <w:rPr>
          <w:rFonts w:ascii="Helvetica" w:hAnsi="Helvetica" w:cs="Helvetica"/>
          <w:color w:val="4BACC6" w:themeColor="accent5"/>
        </w:rPr>
        <w:t xml:space="preserve"> fundada y motivada las razones por las cuales no se ejercieron dichas facultades competencias o funciones.</w:t>
      </w:r>
    </w:p>
    <w:p w:rsidR="003719F5" w:rsidRPr="00C12890" w:rsidRDefault="00F62341" w:rsidP="00F62341">
      <w:pPr>
        <w:spacing w:line="240" w:lineRule="auto"/>
        <w:jc w:val="both"/>
        <w:rPr>
          <w:rFonts w:ascii="Helvetica" w:hAnsi="Helvetica" w:cs="Helvetica"/>
          <w:color w:val="4BACC6" w:themeColor="accent5"/>
        </w:rPr>
      </w:pPr>
      <w:r w:rsidRPr="00C12890">
        <w:rPr>
          <w:rFonts w:ascii="Helvetica" w:hAnsi="Helvetica" w:cs="Helvetica"/>
          <w:color w:val="4BACC6" w:themeColor="accent5"/>
          <w:sz w:val="24"/>
          <w:szCs w:val="24"/>
        </w:rPr>
        <w:t xml:space="preserve">                                                                                                                                                                                                                                                                                                                                                                                                                                                                                                                                                                                                                                                                                                                                                                                                                 </w:t>
      </w:r>
    </w:p>
    <w:p w:rsidR="007A13AE" w:rsidRDefault="002F7A73" w:rsidP="003719F5">
      <w:pPr>
        <w:spacing w:after="0" w:line="360" w:lineRule="auto"/>
        <w:jc w:val="both"/>
        <w:rPr>
          <w:rFonts w:ascii="Helvetica" w:hAnsi="Helvetica" w:cs="Helvetica"/>
          <w:color w:val="4BACC6" w:themeColor="accent5"/>
          <w:sz w:val="24"/>
          <w:szCs w:val="24"/>
        </w:rPr>
      </w:pPr>
      <w:r>
        <w:rPr>
          <w:noProof/>
        </w:rPr>
        <w:drawing>
          <wp:anchor distT="0" distB="0" distL="114300" distR="114300" simplePos="0" relativeHeight="251658240" behindDoc="1" locked="0" layoutInCell="1" allowOverlap="1">
            <wp:simplePos x="0" y="0"/>
            <wp:positionH relativeFrom="column">
              <wp:posOffset>1</wp:posOffset>
            </wp:positionH>
            <wp:positionV relativeFrom="paragraph">
              <wp:posOffset>760730</wp:posOffset>
            </wp:positionV>
            <wp:extent cx="5256322" cy="1598295"/>
            <wp:effectExtent l="0" t="0" r="1905"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8928" b="18030"/>
                    <a:stretch/>
                  </pic:blipFill>
                  <pic:spPr bwMode="auto">
                    <a:xfrm>
                      <a:off x="0" y="0"/>
                      <a:ext cx="5282534" cy="160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4A3D" w:rsidRPr="00C12890">
        <w:rPr>
          <w:rFonts w:ascii="Helvetica" w:hAnsi="Helvetica" w:cs="Helvetica"/>
          <w:color w:val="4BACC6" w:themeColor="accent5"/>
          <w:sz w:val="24"/>
          <w:szCs w:val="24"/>
        </w:rPr>
        <w:t>En este sentido, el sujeto obligado</w:t>
      </w:r>
      <w:r w:rsidR="00F62341" w:rsidRPr="00C12890">
        <w:rPr>
          <w:rFonts w:ascii="Helvetica" w:hAnsi="Helvetica" w:cs="Helvetica"/>
          <w:color w:val="4BACC6" w:themeColor="accent5"/>
          <w:sz w:val="24"/>
          <w:szCs w:val="24"/>
        </w:rPr>
        <w:t xml:space="preserve"> con su oficio</w:t>
      </w:r>
      <w:r>
        <w:rPr>
          <w:rFonts w:ascii="Helvetica" w:hAnsi="Helvetica" w:cs="Helvetica"/>
          <w:color w:val="4BACC6" w:themeColor="accent5"/>
          <w:sz w:val="24"/>
          <w:szCs w:val="24"/>
        </w:rPr>
        <w:t xml:space="preserve"> UT-020/2017</w:t>
      </w:r>
      <w:r w:rsidR="00F62341" w:rsidRPr="00C12890">
        <w:rPr>
          <w:rFonts w:ascii="Helvetica" w:hAnsi="Helvetica" w:cs="Helvetica"/>
          <w:color w:val="4BACC6" w:themeColor="accent5"/>
          <w:sz w:val="24"/>
          <w:szCs w:val="24"/>
        </w:rPr>
        <w:t>,</w:t>
      </w:r>
      <w:r w:rsidR="00E44A3D" w:rsidRPr="00C12890">
        <w:rPr>
          <w:rFonts w:ascii="Helvetica" w:hAnsi="Helvetica" w:cs="Helvetica"/>
          <w:color w:val="4BACC6" w:themeColor="accent5"/>
          <w:sz w:val="24"/>
          <w:szCs w:val="24"/>
        </w:rPr>
        <w:t xml:space="preserve"> informa sobre </w:t>
      </w:r>
      <w:r>
        <w:rPr>
          <w:rFonts w:ascii="Helvetica" w:hAnsi="Helvetica" w:cs="Helvetica"/>
          <w:color w:val="4BACC6" w:themeColor="accent5"/>
          <w:sz w:val="24"/>
          <w:szCs w:val="24"/>
        </w:rPr>
        <w:t xml:space="preserve">las acciones que desplegó a efecto de dar </w:t>
      </w:r>
      <w:r w:rsidR="00E44A3D" w:rsidRPr="00C12890">
        <w:rPr>
          <w:rFonts w:ascii="Helvetica" w:hAnsi="Helvetica" w:cs="Helvetica"/>
          <w:color w:val="4BACC6" w:themeColor="accent5"/>
          <w:sz w:val="24"/>
          <w:szCs w:val="24"/>
        </w:rPr>
        <w:t>cumplimiento a la resolución que nos ocupa</w:t>
      </w:r>
      <w:r>
        <w:rPr>
          <w:rFonts w:ascii="Helvetica" w:hAnsi="Helvetica" w:cs="Helvetica"/>
          <w:color w:val="4BACC6" w:themeColor="accent5"/>
          <w:sz w:val="24"/>
          <w:szCs w:val="24"/>
        </w:rPr>
        <w:t>,</w:t>
      </w:r>
      <w:r w:rsidR="00E44A3D" w:rsidRPr="00C12890">
        <w:rPr>
          <w:rFonts w:ascii="Helvetica" w:hAnsi="Helvetica" w:cs="Helvetica"/>
          <w:color w:val="4BACC6" w:themeColor="accent5"/>
          <w:sz w:val="24"/>
          <w:szCs w:val="24"/>
        </w:rPr>
        <w:t xml:space="preserve"> </w:t>
      </w:r>
      <w:r w:rsidR="005759F3" w:rsidRPr="00C12890">
        <w:rPr>
          <w:rFonts w:ascii="Helvetica" w:hAnsi="Helvetica" w:cs="Helvetica"/>
          <w:color w:val="4BACC6" w:themeColor="accent5"/>
          <w:sz w:val="24"/>
          <w:szCs w:val="24"/>
        </w:rPr>
        <w:t xml:space="preserve">medularmente </w:t>
      </w:r>
      <w:r w:rsidR="00E84940" w:rsidRPr="00C12890">
        <w:rPr>
          <w:rFonts w:ascii="Helvetica" w:hAnsi="Helvetica" w:cs="Helvetica"/>
          <w:color w:val="4BACC6" w:themeColor="accent5"/>
          <w:sz w:val="24"/>
          <w:szCs w:val="24"/>
        </w:rPr>
        <w:t>en los siguientes términos:</w:t>
      </w:r>
    </w:p>
    <w:p w:rsidR="002F7A73" w:rsidRDefault="002F7A73" w:rsidP="003719F5">
      <w:pPr>
        <w:spacing w:after="0" w:line="360" w:lineRule="auto"/>
        <w:jc w:val="both"/>
        <w:rPr>
          <w:rFonts w:ascii="Helvetica" w:hAnsi="Helvetica" w:cs="Helvetica"/>
          <w:color w:val="4BACC6" w:themeColor="accent5"/>
          <w:sz w:val="24"/>
          <w:szCs w:val="24"/>
        </w:rPr>
      </w:pPr>
    </w:p>
    <w:p w:rsidR="002F7A73" w:rsidRPr="00C12890" w:rsidRDefault="002F7A73" w:rsidP="003719F5">
      <w:pPr>
        <w:spacing w:after="0" w:line="360" w:lineRule="auto"/>
        <w:jc w:val="both"/>
        <w:rPr>
          <w:rFonts w:ascii="Helvetica" w:hAnsi="Helvetica" w:cs="Helvetica"/>
          <w:color w:val="4BACC6" w:themeColor="accent5"/>
          <w:sz w:val="24"/>
          <w:szCs w:val="24"/>
        </w:rPr>
      </w:pPr>
    </w:p>
    <w:p w:rsidR="00C12890" w:rsidRPr="00C12890" w:rsidRDefault="00C12890" w:rsidP="00C12890">
      <w:pPr>
        <w:pStyle w:val="Prrafodelista"/>
        <w:ind w:left="1429"/>
        <w:jc w:val="both"/>
        <w:rPr>
          <w:rFonts w:ascii="Helvetica" w:hAnsi="Helvetica" w:cs="Helvetica"/>
          <w:i/>
          <w:color w:val="4BACC6" w:themeColor="accent5"/>
          <w:szCs w:val="24"/>
        </w:rPr>
      </w:pPr>
    </w:p>
    <w:p w:rsidR="002F7A73" w:rsidRDefault="002F7A73" w:rsidP="00C12890">
      <w:pPr>
        <w:spacing w:after="0" w:line="360" w:lineRule="auto"/>
        <w:jc w:val="both"/>
        <w:rPr>
          <w:rFonts w:ascii="Helvetica" w:hAnsi="Helvetica" w:cs="Helvetica"/>
          <w:color w:val="4BACC6" w:themeColor="accent5"/>
          <w:sz w:val="24"/>
          <w:szCs w:val="24"/>
        </w:rPr>
      </w:pPr>
    </w:p>
    <w:p w:rsidR="002F7A73" w:rsidRDefault="002F7A73" w:rsidP="00C12890">
      <w:pPr>
        <w:spacing w:after="0" w:line="360" w:lineRule="auto"/>
        <w:jc w:val="both"/>
        <w:rPr>
          <w:rFonts w:ascii="Helvetica" w:hAnsi="Helvetica" w:cs="Helvetica"/>
          <w:color w:val="4BACC6" w:themeColor="accent5"/>
          <w:sz w:val="24"/>
          <w:szCs w:val="24"/>
        </w:rPr>
      </w:pPr>
    </w:p>
    <w:p w:rsidR="003818CA" w:rsidRDefault="003818CA" w:rsidP="00C12890">
      <w:pPr>
        <w:spacing w:after="0" w:line="360" w:lineRule="auto"/>
        <w:jc w:val="both"/>
        <w:rPr>
          <w:rFonts w:ascii="Helvetica" w:hAnsi="Helvetica" w:cs="Helvetica"/>
          <w:color w:val="4BACC6" w:themeColor="accent5"/>
          <w:sz w:val="24"/>
          <w:szCs w:val="24"/>
        </w:rPr>
      </w:pPr>
      <w:r>
        <w:rPr>
          <w:rFonts w:ascii="Helvetica" w:hAnsi="Helvetica" w:cs="Helvetica"/>
          <w:color w:val="4BACC6" w:themeColor="accent5"/>
          <w:sz w:val="24"/>
          <w:szCs w:val="24"/>
        </w:rPr>
        <w:lastRenderedPageBreak/>
        <w:t>Ahora bien, el sujeto obligado acompañó el acta de mérito misma que por economía procesal se tiene por reproducida como si a la letra se insertase, visible a fojas 45 a 50 de autos.</w:t>
      </w:r>
    </w:p>
    <w:p w:rsidR="003818CA" w:rsidRDefault="003818CA" w:rsidP="00C12890">
      <w:pPr>
        <w:spacing w:after="0" w:line="360" w:lineRule="auto"/>
        <w:jc w:val="both"/>
        <w:rPr>
          <w:rFonts w:ascii="Helvetica" w:hAnsi="Helvetica" w:cs="Helvetica"/>
          <w:color w:val="4BACC6" w:themeColor="accent5"/>
          <w:sz w:val="24"/>
          <w:szCs w:val="24"/>
        </w:rPr>
      </w:pPr>
    </w:p>
    <w:p w:rsidR="00236B7C" w:rsidRDefault="00606EF1" w:rsidP="003818CA">
      <w:pPr>
        <w:spacing w:after="0"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 xml:space="preserve">Atento a lo anterior y una vez revisadas las constancias que remitió el sujeto obligado se tiene que </w:t>
      </w:r>
      <w:r w:rsidR="003818CA">
        <w:rPr>
          <w:rFonts w:ascii="Helvetica" w:hAnsi="Helvetica" w:cs="Helvetica"/>
          <w:color w:val="4BACC6" w:themeColor="accent5"/>
          <w:sz w:val="24"/>
          <w:szCs w:val="24"/>
        </w:rPr>
        <w:t>la citada acta de comité no colma los extremos de la resolución dictada en el presente recurso de revisión, particularmente al punto 6.3 de los efectos.</w:t>
      </w:r>
    </w:p>
    <w:p w:rsidR="003818CA" w:rsidRDefault="003818CA" w:rsidP="003818CA">
      <w:pPr>
        <w:spacing w:after="0" w:line="360" w:lineRule="auto"/>
        <w:jc w:val="both"/>
        <w:rPr>
          <w:rFonts w:ascii="Helvetica" w:hAnsi="Helvetica" w:cs="Helvetica"/>
          <w:color w:val="4BACC6" w:themeColor="accent5"/>
          <w:sz w:val="24"/>
          <w:szCs w:val="24"/>
        </w:rPr>
      </w:pPr>
    </w:p>
    <w:p w:rsidR="003818CA" w:rsidRDefault="003818CA" w:rsidP="003818CA">
      <w:pPr>
        <w:spacing w:after="0" w:line="360" w:lineRule="auto"/>
        <w:jc w:val="both"/>
        <w:rPr>
          <w:rFonts w:ascii="Helvetica" w:hAnsi="Helvetica" w:cs="Helvetica"/>
          <w:color w:val="4BACC6" w:themeColor="accent5"/>
          <w:sz w:val="24"/>
          <w:szCs w:val="24"/>
        </w:rPr>
      </w:pPr>
      <w:r>
        <w:rPr>
          <w:rFonts w:ascii="Helvetica" w:hAnsi="Helvetica" w:cs="Helvetica"/>
          <w:color w:val="4BACC6" w:themeColor="accent5"/>
          <w:sz w:val="24"/>
          <w:szCs w:val="24"/>
        </w:rPr>
        <w:t>Lo anterior es así, porque del acta de declaración de inexistencia remitida por el sujeto obligado, no es posible advertir lo siguiente:</w:t>
      </w:r>
    </w:p>
    <w:p w:rsidR="003818CA" w:rsidRDefault="003818CA" w:rsidP="003818CA">
      <w:pPr>
        <w:spacing w:after="0" w:line="360" w:lineRule="auto"/>
        <w:jc w:val="both"/>
        <w:rPr>
          <w:rFonts w:ascii="Helvetica" w:hAnsi="Helvetica" w:cs="Helvetica"/>
          <w:color w:val="4BACC6" w:themeColor="accent5"/>
          <w:sz w:val="24"/>
          <w:szCs w:val="24"/>
        </w:rPr>
      </w:pPr>
    </w:p>
    <w:p w:rsidR="003818CA" w:rsidRPr="00531494" w:rsidRDefault="003818CA" w:rsidP="003818CA">
      <w:pPr>
        <w:pStyle w:val="Prrafodelista"/>
        <w:numPr>
          <w:ilvl w:val="0"/>
          <w:numId w:val="6"/>
        </w:numPr>
        <w:spacing w:line="360" w:lineRule="auto"/>
        <w:jc w:val="both"/>
        <w:rPr>
          <w:rFonts w:ascii="Helvetica" w:hAnsi="Helvetica" w:cs="Helvetica"/>
          <w:color w:val="4BACC6" w:themeColor="accent5"/>
          <w:szCs w:val="24"/>
        </w:rPr>
      </w:pPr>
      <w:r>
        <w:rPr>
          <w:rFonts w:ascii="Helvetica" w:hAnsi="Helvetica" w:cs="Helvetica"/>
          <w:color w:val="4BACC6" w:themeColor="accent5"/>
          <w:szCs w:val="24"/>
          <w:lang w:val="es-MX"/>
        </w:rPr>
        <w:t xml:space="preserve">La </w:t>
      </w:r>
      <w:r w:rsidRPr="003818CA">
        <w:rPr>
          <w:rFonts w:ascii="Helvetica" w:hAnsi="Helvetica" w:cs="Helvetica"/>
          <w:color w:val="4BACC6" w:themeColor="accent5"/>
          <w:szCs w:val="24"/>
          <w:lang w:val="es-MX"/>
        </w:rPr>
        <w:t>acreditación de la imposibilidad de su generación</w:t>
      </w:r>
      <w:r>
        <w:rPr>
          <w:rFonts w:ascii="Helvetica" w:hAnsi="Helvetica" w:cs="Helvetica"/>
          <w:color w:val="4BACC6" w:themeColor="accent5"/>
          <w:szCs w:val="24"/>
          <w:lang w:val="es-MX"/>
        </w:rPr>
        <w:t>, toda vez que en el acta se menciona lisa y llanamente que son documentos que se pudieron generar en tiempo pasado.</w:t>
      </w:r>
    </w:p>
    <w:p w:rsidR="00531494" w:rsidRPr="003818CA" w:rsidRDefault="00531494" w:rsidP="00531494">
      <w:pPr>
        <w:pStyle w:val="Prrafodelista"/>
        <w:spacing w:line="360" w:lineRule="auto"/>
        <w:jc w:val="both"/>
        <w:rPr>
          <w:rFonts w:ascii="Helvetica" w:hAnsi="Helvetica" w:cs="Helvetica"/>
          <w:color w:val="4BACC6" w:themeColor="accent5"/>
          <w:szCs w:val="24"/>
        </w:rPr>
      </w:pPr>
    </w:p>
    <w:p w:rsidR="003818CA" w:rsidRDefault="003818CA" w:rsidP="003818CA">
      <w:pPr>
        <w:spacing w:line="360" w:lineRule="auto"/>
        <w:jc w:val="both"/>
        <w:rPr>
          <w:rFonts w:ascii="Helvetica" w:hAnsi="Helvetica" w:cs="Helvetica"/>
          <w:color w:val="4BACC6" w:themeColor="accent5"/>
          <w:szCs w:val="24"/>
        </w:rPr>
      </w:pPr>
      <w:r>
        <w:rPr>
          <w:rFonts w:ascii="Helvetica" w:hAnsi="Helvetica" w:cs="Helvetica"/>
          <w:color w:val="4BACC6" w:themeColor="accent5"/>
          <w:szCs w:val="24"/>
        </w:rPr>
        <w:t xml:space="preserve">Al respecto, la Ley de Transparencia nos define que es lo que debemos entender como documento, en su artículo 3°, fracción XIII: </w:t>
      </w:r>
    </w:p>
    <w:p w:rsidR="003818CA" w:rsidRPr="003818CA" w:rsidRDefault="003818CA" w:rsidP="003818CA">
      <w:pPr>
        <w:spacing w:after="216" w:line="240" w:lineRule="auto"/>
        <w:ind w:left="708"/>
        <w:jc w:val="both"/>
        <w:rPr>
          <w:rFonts w:ascii="Helvetica" w:hAnsi="Helvetica"/>
        </w:rPr>
      </w:pPr>
      <w:bookmarkStart w:id="1" w:name="_Hlk510529184"/>
      <w:r w:rsidRPr="003818CA">
        <w:rPr>
          <w:rFonts w:ascii="Helvetica" w:hAnsi="Helvetica"/>
          <w:b/>
          <w:color w:val="000000"/>
        </w:rPr>
        <w:t xml:space="preserve">XIII. </w:t>
      </w:r>
      <w:r w:rsidRPr="003818CA">
        <w:rPr>
          <w:rFonts w:ascii="Helvetica" w:hAnsi="Helvetica"/>
          <w:b/>
          <w:color w:val="000000"/>
        </w:rPr>
        <w:t>Documento:</w:t>
      </w:r>
      <w:r w:rsidRPr="003818CA">
        <w:rPr>
          <w:rFonts w:ascii="Helvetica" w:hAnsi="Helvetica"/>
          <w:color w:val="000000"/>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 documentos pueden ser papeles escritos, o en cualquier medio o formato impreso, sonoro, electrónico, fotográfico, gráfico, visual, holográfico, electrónico o digital;</w:t>
      </w:r>
      <w:bookmarkEnd w:id="1"/>
    </w:p>
    <w:p w:rsidR="003818CA" w:rsidRDefault="003818CA" w:rsidP="003818CA">
      <w:pPr>
        <w:spacing w:line="360" w:lineRule="auto"/>
        <w:jc w:val="both"/>
        <w:rPr>
          <w:rFonts w:ascii="Helvetica" w:hAnsi="Helvetica" w:cs="Helvetica"/>
          <w:color w:val="4BACC6" w:themeColor="accent5"/>
          <w:szCs w:val="24"/>
        </w:rPr>
      </w:pPr>
      <w:r>
        <w:rPr>
          <w:rFonts w:ascii="Helvetica" w:hAnsi="Helvetica" w:cs="Helvetica"/>
          <w:color w:val="4BACC6" w:themeColor="accent5"/>
          <w:szCs w:val="24"/>
        </w:rPr>
        <w:t>En ese sentido, documento es precisamente una representación material que da constancia de un acto del pasado, luego entonces, esta manifestación del sujeto obligado en nada esclarece y justifica si es posible reponer la información, ya sea que conste bajo cualquier otro medio o formato, para efectuar una reposición material.</w:t>
      </w:r>
    </w:p>
    <w:p w:rsidR="00531494" w:rsidRPr="00531494" w:rsidRDefault="003818CA" w:rsidP="003818CA">
      <w:pPr>
        <w:pStyle w:val="Prrafodelista"/>
        <w:numPr>
          <w:ilvl w:val="0"/>
          <w:numId w:val="6"/>
        </w:numPr>
        <w:spacing w:line="360" w:lineRule="auto"/>
        <w:jc w:val="both"/>
        <w:rPr>
          <w:rFonts w:ascii="Helvetica" w:hAnsi="Helvetica" w:cs="Helvetica"/>
          <w:color w:val="4BACC6" w:themeColor="accent5"/>
          <w:szCs w:val="24"/>
        </w:rPr>
      </w:pPr>
      <w:r>
        <w:rPr>
          <w:rFonts w:ascii="Helvetica" w:hAnsi="Helvetica" w:cs="Helvetica"/>
          <w:color w:val="4BACC6" w:themeColor="accent5"/>
          <w:szCs w:val="24"/>
          <w:lang w:val="es-MX"/>
        </w:rPr>
        <w:t>No contiene l</w:t>
      </w:r>
      <w:r w:rsidRPr="003818CA">
        <w:rPr>
          <w:rFonts w:ascii="Helvetica" w:hAnsi="Helvetica" w:cs="Helvetica"/>
          <w:color w:val="4BACC6" w:themeColor="accent5"/>
          <w:szCs w:val="24"/>
          <w:lang w:val="es-MX"/>
        </w:rPr>
        <w:t>os elementos mínimos que permitan al solicitante tener la certeza de criterio de búsqueda exhaustivo utilizado</w:t>
      </w:r>
      <w:r>
        <w:rPr>
          <w:rFonts w:ascii="Helvetica" w:hAnsi="Helvetica" w:cs="Helvetica"/>
          <w:color w:val="4BACC6" w:themeColor="accent5"/>
          <w:szCs w:val="24"/>
          <w:lang w:val="es-MX"/>
        </w:rPr>
        <w:t>,</w:t>
      </w:r>
      <w:r w:rsidR="00531494">
        <w:rPr>
          <w:rFonts w:ascii="Helvetica" w:hAnsi="Helvetica" w:cs="Helvetica"/>
          <w:color w:val="4BACC6" w:themeColor="accent5"/>
          <w:szCs w:val="24"/>
          <w:lang w:val="es-MX"/>
        </w:rPr>
        <w:t xml:space="preserve"> toda vez que,</w:t>
      </w:r>
      <w:r>
        <w:rPr>
          <w:rFonts w:ascii="Helvetica" w:hAnsi="Helvetica" w:cs="Helvetica"/>
          <w:color w:val="4BACC6" w:themeColor="accent5"/>
          <w:szCs w:val="24"/>
          <w:lang w:val="es-MX"/>
        </w:rPr>
        <w:t xml:space="preserve"> nuevamente lisa y llanamente </w:t>
      </w:r>
      <w:r w:rsidR="00531494">
        <w:rPr>
          <w:rFonts w:ascii="Helvetica" w:hAnsi="Helvetica" w:cs="Helvetica"/>
          <w:color w:val="4BACC6" w:themeColor="accent5"/>
          <w:szCs w:val="24"/>
          <w:lang w:val="es-MX"/>
        </w:rPr>
        <w:t xml:space="preserve">el sujeto obligado asentó que realizó una búsqueda exhaustiva y no se localizó ningún documento bajo esa denominación, sin embargo, no se advierte en que consistió la referida búsqueda,  que servidores públicos además del director de administración </w:t>
      </w:r>
      <w:r w:rsidR="00531494">
        <w:rPr>
          <w:rFonts w:ascii="Helvetica" w:hAnsi="Helvetica" w:cs="Helvetica"/>
          <w:color w:val="4BACC6" w:themeColor="accent5"/>
          <w:szCs w:val="24"/>
          <w:lang w:val="es-MX"/>
        </w:rPr>
        <w:lastRenderedPageBreak/>
        <w:t>la ejecutaron, y en que espacios, lugares y archivos (concentración, trámite, histórico, electrónicos) se efectuó.</w:t>
      </w:r>
    </w:p>
    <w:p w:rsidR="00531494" w:rsidRDefault="00531494" w:rsidP="00531494">
      <w:pPr>
        <w:pStyle w:val="Prrafodelista"/>
        <w:numPr>
          <w:ilvl w:val="0"/>
          <w:numId w:val="6"/>
        </w:numPr>
        <w:spacing w:line="360" w:lineRule="auto"/>
        <w:jc w:val="both"/>
        <w:rPr>
          <w:rFonts w:ascii="Helvetica" w:hAnsi="Helvetica" w:cs="Helvetica"/>
          <w:color w:val="4BACC6" w:themeColor="accent5"/>
          <w:szCs w:val="24"/>
        </w:rPr>
      </w:pPr>
      <w:r>
        <w:rPr>
          <w:rFonts w:ascii="Helvetica" w:hAnsi="Helvetica" w:cs="Helvetica"/>
          <w:color w:val="4BACC6" w:themeColor="accent5"/>
          <w:szCs w:val="24"/>
          <w:lang w:val="es-MX"/>
        </w:rPr>
        <w:t xml:space="preserve"> Finalmente, no se advierten </w:t>
      </w:r>
      <w:r>
        <w:rPr>
          <w:rFonts w:ascii="Helvetica" w:hAnsi="Helvetica" w:cs="Helvetica"/>
          <w:color w:val="4BACC6" w:themeColor="accent5"/>
          <w:szCs w:val="24"/>
        </w:rPr>
        <w:t>l</w:t>
      </w:r>
      <w:r w:rsidRPr="00531494">
        <w:rPr>
          <w:rFonts w:ascii="Helvetica" w:hAnsi="Helvetica" w:cs="Helvetica"/>
          <w:color w:val="4BACC6" w:themeColor="accent5"/>
          <w:szCs w:val="24"/>
        </w:rPr>
        <w:t>as circunstancias que generaron la inexistencia de la información o en su caso, exponer de manera fundada y motivada las razones por las cuales no se ejercieron dichas facultades competencias o funciones</w:t>
      </w:r>
      <w:r>
        <w:rPr>
          <w:rFonts w:ascii="Helvetica" w:hAnsi="Helvetica" w:cs="Helvetica"/>
          <w:color w:val="4BACC6" w:themeColor="accent5"/>
          <w:szCs w:val="24"/>
        </w:rPr>
        <w:t>, sino que sólo se puede apreciar un señalamiento presuntivo, es decir, que el sujeto obligado no expuso porque no se generó o porque no se cuenta con la información, y se limito a decir que se pudieron generar en el pasado.</w:t>
      </w:r>
    </w:p>
    <w:p w:rsidR="0021592F" w:rsidRDefault="0021592F" w:rsidP="0021592F">
      <w:pPr>
        <w:spacing w:line="360" w:lineRule="auto"/>
        <w:jc w:val="both"/>
        <w:rPr>
          <w:rFonts w:ascii="Helvetica" w:hAnsi="Helvetica" w:cs="Helvetica"/>
          <w:color w:val="4BACC6" w:themeColor="accent5"/>
          <w:szCs w:val="24"/>
        </w:rPr>
      </w:pPr>
    </w:p>
    <w:p w:rsidR="0021592F" w:rsidRPr="0021592F" w:rsidRDefault="0021592F" w:rsidP="0021592F">
      <w:pPr>
        <w:spacing w:line="360" w:lineRule="auto"/>
        <w:jc w:val="both"/>
        <w:rPr>
          <w:rFonts w:ascii="Helvetica" w:hAnsi="Helvetica" w:cs="Helvetica"/>
          <w:color w:val="4BACC6" w:themeColor="accent5"/>
          <w:szCs w:val="24"/>
        </w:rPr>
      </w:pPr>
      <w:r w:rsidRPr="0021592F">
        <w:rPr>
          <w:rFonts w:ascii="Helvetica" w:hAnsi="Helvetica" w:cs="Helvetica"/>
          <w:color w:val="4BACC6" w:themeColor="accent5"/>
          <w:szCs w:val="24"/>
        </w:rPr>
        <w:t xml:space="preserve">Por lo anterior, con fundamento en los artículos 27° primer párrafo, 184° segundo párrafo y 185 fracción I de la Ley de Transparencia y Acceso a la Información Pública del Estado, se tiene que </w:t>
      </w:r>
      <w:r w:rsidRPr="0021592F">
        <w:rPr>
          <w:rFonts w:ascii="Helvetica" w:hAnsi="Helvetica" w:cs="Helvetica"/>
          <w:b/>
          <w:color w:val="4BACC6" w:themeColor="accent5"/>
          <w:szCs w:val="24"/>
        </w:rPr>
        <w:t>la resolución dictada en el presente recurso de revisión se encuentra incumplida</w:t>
      </w:r>
      <w:r w:rsidRPr="0021592F">
        <w:rPr>
          <w:rFonts w:ascii="Helvetica" w:hAnsi="Helvetica" w:cs="Helvetica"/>
          <w:color w:val="4BACC6" w:themeColor="accent5"/>
          <w:szCs w:val="24"/>
        </w:rPr>
        <w:t xml:space="preserve"> y conmina al sujeto obligado a que dé cumplimiento en los precisos términos asentados en la misma.</w:t>
      </w:r>
    </w:p>
    <w:p w:rsidR="0021592F" w:rsidRPr="0021592F" w:rsidRDefault="0021592F" w:rsidP="0021592F">
      <w:pPr>
        <w:spacing w:line="360" w:lineRule="auto"/>
        <w:jc w:val="both"/>
        <w:rPr>
          <w:rFonts w:ascii="Helvetica" w:hAnsi="Helvetica" w:cs="Helvetica"/>
          <w:color w:val="4BACC6" w:themeColor="accent5"/>
          <w:szCs w:val="24"/>
        </w:rPr>
      </w:pPr>
      <w:r>
        <w:rPr>
          <w:rFonts w:ascii="Helvetica" w:hAnsi="Helvetica" w:cs="Helvetica"/>
          <w:color w:val="4BACC6" w:themeColor="accent5"/>
          <w:szCs w:val="24"/>
        </w:rPr>
        <w:t>En esa tesitura</w:t>
      </w:r>
      <w:r w:rsidRPr="0021592F">
        <w:rPr>
          <w:rFonts w:ascii="Helvetica" w:hAnsi="Helvetica" w:cs="Helvetica"/>
          <w:color w:val="4BACC6" w:themeColor="accent5"/>
          <w:szCs w:val="24"/>
        </w:rPr>
        <w:t>, al tenor de lo establecido en el artículo 185 fracción II; con fundamento en el artículo 58 de la Ley de Transparencia que señala:</w:t>
      </w:r>
    </w:p>
    <w:p w:rsidR="0021592F" w:rsidRPr="0021592F" w:rsidRDefault="0021592F" w:rsidP="0021592F">
      <w:pPr>
        <w:spacing w:line="360" w:lineRule="auto"/>
        <w:jc w:val="both"/>
        <w:rPr>
          <w:rFonts w:ascii="Helvetica" w:hAnsi="Helvetica" w:cs="Helvetica"/>
          <w:color w:val="4BACC6" w:themeColor="accent5"/>
          <w:szCs w:val="24"/>
        </w:rPr>
      </w:pPr>
      <w:r w:rsidRPr="0021592F">
        <w:rPr>
          <w:rFonts w:ascii="Helvetica" w:hAnsi="Helvetica" w:cs="Helvetica"/>
          <w:color w:val="4BACC6" w:themeColor="accent5"/>
          <w:szCs w:val="24"/>
        </w:rPr>
        <w:t>“</w:t>
      </w:r>
      <w:r w:rsidRPr="0021592F">
        <w:rPr>
          <w:rFonts w:ascii="Helvetica" w:hAnsi="Helvetica" w:cs="Helvetica"/>
          <w:b/>
          <w:color w:val="4BACC6" w:themeColor="accent5"/>
          <w:szCs w:val="24"/>
        </w:rPr>
        <w:t xml:space="preserve">ARTÍCULO 58. </w:t>
      </w:r>
      <w:r w:rsidRPr="0021592F">
        <w:rPr>
          <w:rFonts w:ascii="Helvetica" w:hAnsi="Helvetica" w:cs="Helvetica"/>
          <w:color w:val="4BACC6" w:themeColor="accent5"/>
          <w:szCs w:val="24"/>
        </w:rPr>
        <w:t>Las unidades de transparencia acatarán las resoluciones, disposiciones administrativas y requerimientos de informes que establezca el Comité de Transparencia, o la CEGAIP”</w:t>
      </w:r>
    </w:p>
    <w:p w:rsidR="0021592F" w:rsidRDefault="0021592F" w:rsidP="0021592F">
      <w:pPr>
        <w:spacing w:line="360" w:lineRule="auto"/>
        <w:jc w:val="both"/>
        <w:rPr>
          <w:rFonts w:ascii="Helvetica" w:hAnsi="Helvetica" w:cs="Helvetica"/>
          <w:color w:val="4BACC6" w:themeColor="accent5"/>
          <w:szCs w:val="24"/>
        </w:rPr>
      </w:pPr>
      <w:r w:rsidRPr="0021592F">
        <w:rPr>
          <w:rFonts w:ascii="Helvetica" w:hAnsi="Helvetica" w:cs="Helvetica"/>
          <w:color w:val="4BACC6" w:themeColor="accent5"/>
          <w:szCs w:val="24"/>
        </w:rPr>
        <w:t xml:space="preserve">Se requiere al </w:t>
      </w:r>
      <w:r>
        <w:rPr>
          <w:rFonts w:ascii="Helvetica" w:hAnsi="Helvetica" w:cs="Helvetica"/>
          <w:b/>
          <w:color w:val="4BACC6" w:themeColor="accent5"/>
          <w:szCs w:val="24"/>
        </w:rPr>
        <w:t>Titular de la Secretaria de Desarrollo Urbano, Vivienda y Obras Públicas,</w:t>
      </w:r>
      <w:r w:rsidRPr="0021592F">
        <w:rPr>
          <w:rFonts w:ascii="Helvetica" w:hAnsi="Helvetica" w:cs="Helvetica"/>
          <w:b/>
          <w:color w:val="4BACC6" w:themeColor="accent5"/>
          <w:szCs w:val="24"/>
        </w:rPr>
        <w:t xml:space="preserve"> </w:t>
      </w:r>
      <w:r w:rsidRPr="0021592F">
        <w:rPr>
          <w:rFonts w:ascii="Helvetica" w:hAnsi="Helvetica" w:cs="Helvetica"/>
          <w:color w:val="4BACC6" w:themeColor="accent5"/>
          <w:szCs w:val="24"/>
        </w:rPr>
        <w:t xml:space="preserve">en virtud de ser el superior jerárquico del Titular de la Unidad de Transparencia, </w:t>
      </w:r>
      <w:r w:rsidRPr="0021592F">
        <w:rPr>
          <w:rFonts w:ascii="Helvetica" w:hAnsi="Helvetica" w:cs="Helvetica"/>
          <w:b/>
          <w:color w:val="4BACC6" w:themeColor="accent5"/>
          <w:szCs w:val="24"/>
        </w:rPr>
        <w:t xml:space="preserve">a efecto de que en el término de 05 cinco días hábiles, </w:t>
      </w:r>
      <w:r w:rsidRPr="0021592F">
        <w:rPr>
          <w:rFonts w:ascii="Helvetica" w:hAnsi="Helvetica" w:cs="Helvetica"/>
          <w:color w:val="4BACC6" w:themeColor="accent5"/>
          <w:szCs w:val="24"/>
        </w:rPr>
        <w:t xml:space="preserve">los cuales de conformidad con lo establecido por el artículo 148 de la Ley de la materia, las notificaciones empezaran a transcurrir al día siguiente al que se practiquen, </w:t>
      </w:r>
      <w:r w:rsidRPr="0021592F">
        <w:rPr>
          <w:rFonts w:ascii="Helvetica" w:hAnsi="Helvetica" w:cs="Helvetica"/>
          <w:b/>
          <w:color w:val="4BACC6" w:themeColor="accent5"/>
          <w:szCs w:val="24"/>
        </w:rPr>
        <w:t>giré las instrucciones necesarias</w:t>
      </w:r>
      <w:r>
        <w:rPr>
          <w:rFonts w:ascii="Helvetica" w:hAnsi="Helvetica" w:cs="Helvetica"/>
          <w:b/>
          <w:color w:val="4BACC6" w:themeColor="accent5"/>
          <w:szCs w:val="24"/>
        </w:rPr>
        <w:t xml:space="preserve"> a quien corresponda,</w:t>
      </w:r>
      <w:r w:rsidRPr="0021592F">
        <w:rPr>
          <w:rFonts w:ascii="Helvetica" w:hAnsi="Helvetica" w:cs="Helvetica"/>
          <w:b/>
          <w:color w:val="4BACC6" w:themeColor="accent5"/>
          <w:szCs w:val="24"/>
        </w:rPr>
        <w:t xml:space="preserve"> para que se otorgue el debido cumplimiento a la resolución dictada en el presente expediente</w:t>
      </w:r>
      <w:r w:rsidRPr="0021592F">
        <w:rPr>
          <w:rFonts w:ascii="Helvetica" w:hAnsi="Helvetica" w:cs="Helvetica"/>
          <w:color w:val="4BACC6" w:themeColor="accent5"/>
          <w:szCs w:val="24"/>
        </w:rPr>
        <w:t xml:space="preserve">, </w:t>
      </w:r>
      <w:r w:rsidRPr="0021592F">
        <w:rPr>
          <w:rFonts w:ascii="Helvetica" w:hAnsi="Helvetica" w:cs="Helvetica"/>
          <w:b/>
          <w:color w:val="4BACC6" w:themeColor="accent5"/>
          <w:szCs w:val="24"/>
        </w:rPr>
        <w:t xml:space="preserve">por lo que deberá apegarse a </w:t>
      </w:r>
      <w:r>
        <w:rPr>
          <w:rFonts w:ascii="Helvetica" w:hAnsi="Helvetica" w:cs="Helvetica"/>
          <w:b/>
          <w:color w:val="4BACC6" w:themeColor="accent5"/>
          <w:szCs w:val="24"/>
        </w:rPr>
        <w:t>las consideraciones por las cuales se determinó el incumplimiento que aquí se dicta</w:t>
      </w:r>
      <w:r w:rsidRPr="0021592F">
        <w:rPr>
          <w:rFonts w:ascii="Helvetica" w:hAnsi="Helvetica" w:cs="Helvetica"/>
          <w:b/>
          <w:color w:val="4BACC6" w:themeColor="accent5"/>
          <w:szCs w:val="24"/>
        </w:rPr>
        <w:t xml:space="preserve">, </w:t>
      </w:r>
      <w:r w:rsidRPr="0021592F">
        <w:rPr>
          <w:rFonts w:ascii="Helvetica" w:hAnsi="Helvetica" w:cs="Helvetica"/>
          <w:color w:val="4BACC6" w:themeColor="accent5"/>
          <w:szCs w:val="24"/>
        </w:rPr>
        <w:t xml:space="preserve"> debiendo remitir las constancias necesarias que acrediten el cabal cumplimiento a lo ordenado en la resolución dictada por este Órgano Colegiado, </w:t>
      </w:r>
      <w:r w:rsidRPr="0021592F">
        <w:rPr>
          <w:rFonts w:ascii="Helvetica" w:hAnsi="Helvetica" w:cs="Helvetica"/>
          <w:b/>
          <w:color w:val="4BACC6" w:themeColor="accent5"/>
          <w:szCs w:val="24"/>
        </w:rPr>
        <w:t>apercibido</w:t>
      </w:r>
      <w:r>
        <w:rPr>
          <w:rFonts w:ascii="Helvetica" w:hAnsi="Helvetica" w:cs="Helvetica"/>
          <w:b/>
          <w:color w:val="4BACC6" w:themeColor="accent5"/>
          <w:szCs w:val="24"/>
        </w:rPr>
        <w:t>s</w:t>
      </w:r>
      <w:r w:rsidRPr="0021592F">
        <w:rPr>
          <w:rFonts w:ascii="Helvetica" w:hAnsi="Helvetica" w:cs="Helvetica"/>
          <w:b/>
          <w:color w:val="4BACC6" w:themeColor="accent5"/>
          <w:szCs w:val="24"/>
        </w:rPr>
        <w:t xml:space="preserve"> legalmente que en caso de no cumplir con las determinaciones de esta Comisión, como se encuentra señalado en el resolutivo y al cuerpo del presente proveído, se procederá en términos de lo establecido en los artículos 190 en relación al artículo 197 fracción XV de la Ley de Transparencia y Acceso a la </w:t>
      </w:r>
      <w:r w:rsidRPr="0021592F">
        <w:rPr>
          <w:rFonts w:ascii="Helvetica" w:hAnsi="Helvetica" w:cs="Helvetica"/>
          <w:b/>
          <w:color w:val="4BACC6" w:themeColor="accent5"/>
          <w:szCs w:val="24"/>
        </w:rPr>
        <w:lastRenderedPageBreak/>
        <w:t>Información Pública del Estado, y se impondrá la medida de apremio que corresponda para asegurar el cumplimiento de la resolución que nos ocupa y los sucesivos requerimientos.</w:t>
      </w:r>
      <w:r w:rsidRPr="0021592F">
        <w:rPr>
          <w:rFonts w:ascii="Helvetica" w:hAnsi="Helvetica" w:cs="Helvetica"/>
          <w:color w:val="4BACC6" w:themeColor="accent5"/>
          <w:szCs w:val="24"/>
        </w:rPr>
        <w:t xml:space="preserve"> </w:t>
      </w:r>
    </w:p>
    <w:p w:rsidR="0021592F" w:rsidRPr="0021592F" w:rsidRDefault="0021592F" w:rsidP="0021592F">
      <w:pPr>
        <w:spacing w:line="360" w:lineRule="auto"/>
        <w:jc w:val="both"/>
        <w:rPr>
          <w:rFonts w:ascii="Helvetica" w:hAnsi="Helvetica" w:cs="Helvetica"/>
          <w:color w:val="4BACC6" w:themeColor="accent5"/>
          <w:szCs w:val="24"/>
        </w:rPr>
      </w:pPr>
      <w:r>
        <w:rPr>
          <w:rFonts w:ascii="Helvetica" w:hAnsi="Helvetica" w:cs="Helvetica"/>
          <w:color w:val="4BACC6" w:themeColor="accent5"/>
          <w:szCs w:val="24"/>
        </w:rPr>
        <w:t xml:space="preserve">Por lo anterior, dígase a la </w:t>
      </w:r>
      <w:r w:rsidRPr="0021592F">
        <w:rPr>
          <w:rFonts w:ascii="Helvetica" w:hAnsi="Helvetica" w:cs="Helvetica"/>
          <w:b/>
          <w:color w:val="4BACC6" w:themeColor="accent5"/>
          <w:szCs w:val="24"/>
        </w:rPr>
        <w:t>Unidad de Transparencia</w:t>
      </w:r>
      <w:r>
        <w:rPr>
          <w:rFonts w:ascii="Helvetica" w:hAnsi="Helvetica" w:cs="Helvetica"/>
          <w:color w:val="4BACC6" w:themeColor="accent5"/>
          <w:szCs w:val="24"/>
        </w:rPr>
        <w:t xml:space="preserve"> que por su conducto deberá hacer del conocimiento a todas las unidades administrativas de ese sujeto obligado encargadas de dar cumplimiento a la resolución del sumario en el que se actúa, el presente acuerdo de incumplimiento, para que se den por enterados de las determinaciones que aquí constan y para los demás efectos legales correspondientes. N</w:t>
      </w:r>
      <w:r w:rsidRPr="0021592F">
        <w:rPr>
          <w:rFonts w:ascii="Helvetica" w:hAnsi="Helvetica" w:cs="Helvetica"/>
          <w:b/>
          <w:color w:val="4BACC6" w:themeColor="accent5"/>
          <w:szCs w:val="24"/>
        </w:rPr>
        <w:t>otifíquese por lista y personalmente.</w:t>
      </w:r>
    </w:p>
    <w:p w:rsidR="00236B7C" w:rsidRPr="00C12890" w:rsidRDefault="00236B7C" w:rsidP="0021592F">
      <w:pPr>
        <w:spacing w:after="0" w:line="360" w:lineRule="auto"/>
        <w:jc w:val="both"/>
        <w:rPr>
          <w:rFonts w:ascii="Helvetica" w:hAnsi="Helvetica" w:cs="Helvetica"/>
          <w:color w:val="4BACC6" w:themeColor="accent5"/>
          <w:sz w:val="24"/>
          <w:szCs w:val="24"/>
        </w:rPr>
      </w:pPr>
      <w:r w:rsidRPr="00C12890">
        <w:rPr>
          <w:rFonts w:ascii="Helvetica" w:hAnsi="Helvetica" w:cs="Helvetica"/>
          <w:color w:val="4BACC6" w:themeColor="accent5"/>
          <w:sz w:val="24"/>
          <w:szCs w:val="24"/>
        </w:rPr>
        <w:t>Así lo proveyó y firma el Comisionado Presidente de la Comisión Estatal de Garantía de Acceso a la Información Pública Alejandro Lafuente Torres, que actúa con Rosa María Motilla García, Secretaria de Pleno que da fe.</w:t>
      </w:r>
    </w:p>
    <w:p w:rsidR="00236B7C" w:rsidRPr="00C12890" w:rsidRDefault="00236B7C" w:rsidP="00236B7C">
      <w:pPr>
        <w:spacing w:after="0" w:line="360" w:lineRule="auto"/>
        <w:jc w:val="both"/>
        <w:rPr>
          <w:rFonts w:ascii="Helvetica" w:hAnsi="Helvetica" w:cs="Helvetica"/>
          <w:b/>
          <w:color w:val="4BACC6" w:themeColor="accent5"/>
          <w:sz w:val="24"/>
          <w:szCs w:val="24"/>
        </w:rPr>
      </w:pPr>
    </w:p>
    <w:p w:rsidR="00236B7C" w:rsidRPr="00C12890" w:rsidRDefault="00236B7C" w:rsidP="00236B7C">
      <w:pPr>
        <w:spacing w:after="0" w:line="360" w:lineRule="auto"/>
        <w:ind w:firstLine="709"/>
        <w:jc w:val="both"/>
        <w:rPr>
          <w:rFonts w:ascii="Helvetica" w:hAnsi="Helvetica" w:cs="Helvetica"/>
          <w:b/>
          <w:color w:val="4BACC6" w:themeColor="accent5"/>
          <w:sz w:val="24"/>
          <w:szCs w:val="24"/>
        </w:rPr>
      </w:pPr>
    </w:p>
    <w:p w:rsidR="00236B7C" w:rsidRPr="00C12890" w:rsidRDefault="00236B7C" w:rsidP="00236B7C">
      <w:pPr>
        <w:spacing w:after="0" w:line="240" w:lineRule="auto"/>
        <w:ind w:firstLine="709"/>
        <w:jc w:val="both"/>
        <w:rPr>
          <w:rFonts w:ascii="Helvetica" w:hAnsi="Helvetica" w:cs="Helvetica"/>
          <w:b/>
          <w:color w:val="4BACC6" w:themeColor="accent5"/>
          <w:sz w:val="24"/>
          <w:szCs w:val="24"/>
        </w:rPr>
      </w:pPr>
      <w:r w:rsidRPr="00C12890">
        <w:rPr>
          <w:rFonts w:ascii="Helvetica" w:hAnsi="Helvetica" w:cs="Helvetica"/>
          <w:b/>
          <w:color w:val="4BACC6" w:themeColor="accent5"/>
          <w:sz w:val="24"/>
          <w:szCs w:val="24"/>
        </w:rPr>
        <w:t xml:space="preserve">           Alejandro Lafuente Torres</w:t>
      </w:r>
      <w:r w:rsidRPr="00C12890">
        <w:rPr>
          <w:rFonts w:ascii="Helvetica" w:hAnsi="Helvetica" w:cs="Helvetica"/>
          <w:color w:val="4BACC6" w:themeColor="accent5"/>
          <w:sz w:val="24"/>
          <w:szCs w:val="24"/>
        </w:rPr>
        <w:t xml:space="preserve"> </w:t>
      </w:r>
      <w:r w:rsidRPr="00C12890">
        <w:rPr>
          <w:rFonts w:ascii="Helvetica" w:hAnsi="Helvetica" w:cs="Helvetica"/>
          <w:b/>
          <w:color w:val="4BACC6" w:themeColor="accent5"/>
          <w:sz w:val="24"/>
          <w:szCs w:val="24"/>
          <w:lang w:val="es-ES"/>
        </w:rPr>
        <w:t xml:space="preserve">          Rosa María Motilla García</w:t>
      </w:r>
      <w:r w:rsidRPr="00C12890">
        <w:rPr>
          <w:rFonts w:ascii="Helvetica" w:hAnsi="Helvetica" w:cs="Helvetica"/>
          <w:b/>
          <w:color w:val="4BACC6" w:themeColor="accent5"/>
          <w:sz w:val="24"/>
          <w:szCs w:val="24"/>
        </w:rPr>
        <w:t xml:space="preserve">        </w:t>
      </w:r>
    </w:p>
    <w:p w:rsidR="00236B7C" w:rsidRPr="00C12890" w:rsidRDefault="00236B7C" w:rsidP="00236B7C">
      <w:pPr>
        <w:spacing w:after="0" w:line="240" w:lineRule="auto"/>
        <w:ind w:firstLine="709"/>
        <w:jc w:val="both"/>
        <w:rPr>
          <w:rFonts w:ascii="Helvetica" w:hAnsi="Helvetica" w:cs="Helvetica"/>
          <w:b/>
          <w:color w:val="4BACC6" w:themeColor="accent5"/>
          <w:sz w:val="24"/>
          <w:szCs w:val="24"/>
          <w:lang w:val="es-ES"/>
        </w:rPr>
      </w:pPr>
      <w:r w:rsidRPr="00C12890">
        <w:rPr>
          <w:rFonts w:ascii="Helvetica" w:hAnsi="Helvetica" w:cs="Helvetica"/>
          <w:b/>
          <w:color w:val="4BACC6" w:themeColor="accent5"/>
          <w:sz w:val="24"/>
          <w:szCs w:val="24"/>
        </w:rPr>
        <w:t xml:space="preserve">           Comisionado Presidente                      Secretaria de Pleno</w:t>
      </w:r>
    </w:p>
    <w:p w:rsidR="00C257BC" w:rsidRDefault="00C257BC" w:rsidP="0087666E">
      <w:pPr>
        <w:spacing w:after="0" w:line="360" w:lineRule="auto"/>
        <w:rPr>
          <w:rFonts w:ascii="Helvetica" w:hAnsi="Helvetica" w:cs="Helvetica"/>
          <w:color w:val="4BACC6" w:themeColor="accent5"/>
          <w:sz w:val="24"/>
          <w:szCs w:val="24"/>
        </w:rPr>
      </w:pPr>
    </w:p>
    <w:p w:rsidR="0021592F" w:rsidRDefault="0021592F" w:rsidP="0087666E">
      <w:pPr>
        <w:spacing w:after="0" w:line="360" w:lineRule="auto"/>
        <w:rPr>
          <w:rFonts w:ascii="Helvetica" w:hAnsi="Helvetica" w:cs="Helvetica"/>
          <w:color w:val="4BACC6" w:themeColor="accent5"/>
          <w:sz w:val="24"/>
          <w:szCs w:val="24"/>
        </w:rPr>
      </w:pPr>
    </w:p>
    <w:p w:rsidR="0021592F" w:rsidRPr="0021592F" w:rsidRDefault="0021592F" w:rsidP="0087666E">
      <w:pPr>
        <w:spacing w:after="0" w:line="360" w:lineRule="auto"/>
        <w:rPr>
          <w:rFonts w:ascii="Helvetica" w:hAnsi="Helvetica" w:cs="Helvetica"/>
          <w:color w:val="4BACC6" w:themeColor="accent5"/>
          <w:sz w:val="12"/>
          <w:szCs w:val="12"/>
        </w:rPr>
      </w:pPr>
      <w:r w:rsidRPr="0021592F">
        <w:rPr>
          <w:rFonts w:ascii="Helvetica" w:hAnsi="Helvetica" w:cs="Helvetica"/>
          <w:color w:val="4BACC6" w:themeColor="accent5"/>
          <w:sz w:val="12"/>
          <w:szCs w:val="12"/>
        </w:rPr>
        <w:t>JLVR</w:t>
      </w:r>
      <w:bookmarkStart w:id="2" w:name="_GoBack"/>
      <w:bookmarkEnd w:id="2"/>
    </w:p>
    <w:sectPr w:rsidR="0021592F" w:rsidRPr="0021592F" w:rsidSect="006C4B74">
      <w:headerReference w:type="default" r:id="rId9"/>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728" w:rsidRDefault="00043728" w:rsidP="00A04BCB">
      <w:pPr>
        <w:spacing w:after="0" w:line="240" w:lineRule="auto"/>
      </w:pPr>
      <w:r>
        <w:separator/>
      </w:r>
    </w:p>
  </w:endnote>
  <w:endnote w:type="continuationSeparator" w:id="0">
    <w:p w:rsidR="00043728" w:rsidRDefault="00043728"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3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728" w:rsidRDefault="00043728" w:rsidP="00A04BCB">
      <w:pPr>
        <w:spacing w:after="0" w:line="240" w:lineRule="auto"/>
      </w:pPr>
      <w:r>
        <w:separator/>
      </w:r>
    </w:p>
  </w:footnote>
  <w:footnote w:type="continuationSeparator" w:id="0">
    <w:p w:rsidR="00043728" w:rsidRDefault="00043728"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2C39B0">
      <w:rPr>
        <w:rFonts w:ascii="Arial" w:hAnsi="Arial" w:cs="Arial"/>
        <w:b/>
      </w:rPr>
      <w:t>493</w:t>
    </w:r>
    <w:r w:rsidR="00E84940">
      <w:rPr>
        <w:rFonts w:ascii="Arial" w:hAnsi="Arial" w:cs="Arial"/>
        <w:b/>
      </w:rPr>
      <w:t>/2017</w:t>
    </w:r>
    <w:r>
      <w:rPr>
        <w:rFonts w:ascii="Arial" w:hAnsi="Arial" w:cs="Arial"/>
        <w:b/>
      </w:rPr>
      <w:t>-1</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E122BB"/>
    <w:multiLevelType w:val="hybridMultilevel"/>
    <w:tmpl w:val="4A76E39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7B5A4A"/>
    <w:multiLevelType w:val="hybridMultilevel"/>
    <w:tmpl w:val="18AE28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C6276BE"/>
    <w:multiLevelType w:val="hybridMultilevel"/>
    <w:tmpl w:val="3848A9F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43728"/>
    <w:rsid w:val="00050349"/>
    <w:rsid w:val="00051B98"/>
    <w:rsid w:val="000558EA"/>
    <w:rsid w:val="00075FD6"/>
    <w:rsid w:val="00082599"/>
    <w:rsid w:val="00082A49"/>
    <w:rsid w:val="000A036E"/>
    <w:rsid w:val="000B29C0"/>
    <w:rsid w:val="000B62C2"/>
    <w:rsid w:val="000C1525"/>
    <w:rsid w:val="000C43AB"/>
    <w:rsid w:val="000C7FC1"/>
    <w:rsid w:val="000D3447"/>
    <w:rsid w:val="000D3E6A"/>
    <w:rsid w:val="000D5AC1"/>
    <w:rsid w:val="000D6BBE"/>
    <w:rsid w:val="000F05B6"/>
    <w:rsid w:val="000F10DE"/>
    <w:rsid w:val="0010086F"/>
    <w:rsid w:val="00102612"/>
    <w:rsid w:val="00102D42"/>
    <w:rsid w:val="00102E8F"/>
    <w:rsid w:val="00107646"/>
    <w:rsid w:val="00134587"/>
    <w:rsid w:val="00144651"/>
    <w:rsid w:val="00161A5C"/>
    <w:rsid w:val="0019136E"/>
    <w:rsid w:val="001A74F9"/>
    <w:rsid w:val="001B2AEF"/>
    <w:rsid w:val="001C34D4"/>
    <w:rsid w:val="001D16C6"/>
    <w:rsid w:val="001D3E9B"/>
    <w:rsid w:val="001D7EA2"/>
    <w:rsid w:val="001E7CC8"/>
    <w:rsid w:val="001F7935"/>
    <w:rsid w:val="002017B1"/>
    <w:rsid w:val="00201B4A"/>
    <w:rsid w:val="00206A01"/>
    <w:rsid w:val="0021592F"/>
    <w:rsid w:val="00236B7C"/>
    <w:rsid w:val="002416BD"/>
    <w:rsid w:val="0024310C"/>
    <w:rsid w:val="002526F3"/>
    <w:rsid w:val="00264CBC"/>
    <w:rsid w:val="00266ADC"/>
    <w:rsid w:val="00267FE0"/>
    <w:rsid w:val="00283EB0"/>
    <w:rsid w:val="002A288D"/>
    <w:rsid w:val="002B6C01"/>
    <w:rsid w:val="002C39B0"/>
    <w:rsid w:val="002C6009"/>
    <w:rsid w:val="002D0070"/>
    <w:rsid w:val="002D7450"/>
    <w:rsid w:val="002F3D9F"/>
    <w:rsid w:val="002F7A73"/>
    <w:rsid w:val="003032F5"/>
    <w:rsid w:val="003330C2"/>
    <w:rsid w:val="003443D3"/>
    <w:rsid w:val="003564EB"/>
    <w:rsid w:val="00360175"/>
    <w:rsid w:val="00360CD6"/>
    <w:rsid w:val="0037061E"/>
    <w:rsid w:val="003719F5"/>
    <w:rsid w:val="003818CA"/>
    <w:rsid w:val="00383735"/>
    <w:rsid w:val="0038592D"/>
    <w:rsid w:val="003A7A94"/>
    <w:rsid w:val="003B057C"/>
    <w:rsid w:val="003B07D4"/>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935E2"/>
    <w:rsid w:val="0049533B"/>
    <w:rsid w:val="004C003F"/>
    <w:rsid w:val="004C1C32"/>
    <w:rsid w:val="004D0F1C"/>
    <w:rsid w:val="004D511E"/>
    <w:rsid w:val="004E26A9"/>
    <w:rsid w:val="004E34E5"/>
    <w:rsid w:val="004E367B"/>
    <w:rsid w:val="004E386C"/>
    <w:rsid w:val="004F08DC"/>
    <w:rsid w:val="00500854"/>
    <w:rsid w:val="005020A7"/>
    <w:rsid w:val="005145F2"/>
    <w:rsid w:val="00516410"/>
    <w:rsid w:val="00531494"/>
    <w:rsid w:val="005357D0"/>
    <w:rsid w:val="00552902"/>
    <w:rsid w:val="0055402B"/>
    <w:rsid w:val="005542F9"/>
    <w:rsid w:val="00557692"/>
    <w:rsid w:val="00570D95"/>
    <w:rsid w:val="005759F3"/>
    <w:rsid w:val="00584C9B"/>
    <w:rsid w:val="00587BEF"/>
    <w:rsid w:val="00590B7F"/>
    <w:rsid w:val="00594922"/>
    <w:rsid w:val="005B5548"/>
    <w:rsid w:val="005B721E"/>
    <w:rsid w:val="005C4DFA"/>
    <w:rsid w:val="00606EF1"/>
    <w:rsid w:val="00624699"/>
    <w:rsid w:val="00625D1B"/>
    <w:rsid w:val="006406B4"/>
    <w:rsid w:val="00654810"/>
    <w:rsid w:val="0065499F"/>
    <w:rsid w:val="00660C94"/>
    <w:rsid w:val="00662402"/>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21663"/>
    <w:rsid w:val="00723640"/>
    <w:rsid w:val="00737F69"/>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6AE1"/>
    <w:rsid w:val="00852BC3"/>
    <w:rsid w:val="00855F5F"/>
    <w:rsid w:val="00864763"/>
    <w:rsid w:val="0087600C"/>
    <w:rsid w:val="0087666E"/>
    <w:rsid w:val="00896536"/>
    <w:rsid w:val="00897B0C"/>
    <w:rsid w:val="008A0C13"/>
    <w:rsid w:val="008B155F"/>
    <w:rsid w:val="008B15BA"/>
    <w:rsid w:val="008D498C"/>
    <w:rsid w:val="008E1D07"/>
    <w:rsid w:val="008E4809"/>
    <w:rsid w:val="009026CF"/>
    <w:rsid w:val="009124C4"/>
    <w:rsid w:val="00914358"/>
    <w:rsid w:val="00926153"/>
    <w:rsid w:val="009360B5"/>
    <w:rsid w:val="009546FE"/>
    <w:rsid w:val="009831A3"/>
    <w:rsid w:val="0098670F"/>
    <w:rsid w:val="009A6F90"/>
    <w:rsid w:val="009B23C6"/>
    <w:rsid w:val="009D0019"/>
    <w:rsid w:val="009D6DB6"/>
    <w:rsid w:val="009E456E"/>
    <w:rsid w:val="009F0F27"/>
    <w:rsid w:val="00A04BCB"/>
    <w:rsid w:val="00A050F1"/>
    <w:rsid w:val="00A06A4A"/>
    <w:rsid w:val="00A115B1"/>
    <w:rsid w:val="00A26955"/>
    <w:rsid w:val="00A33B86"/>
    <w:rsid w:val="00A60EB6"/>
    <w:rsid w:val="00A61B08"/>
    <w:rsid w:val="00A8436E"/>
    <w:rsid w:val="00A84A52"/>
    <w:rsid w:val="00A94565"/>
    <w:rsid w:val="00AA1CC9"/>
    <w:rsid w:val="00AC335A"/>
    <w:rsid w:val="00AE0121"/>
    <w:rsid w:val="00AE702D"/>
    <w:rsid w:val="00B01DE9"/>
    <w:rsid w:val="00B06769"/>
    <w:rsid w:val="00B14364"/>
    <w:rsid w:val="00B2325F"/>
    <w:rsid w:val="00B26F26"/>
    <w:rsid w:val="00B35C13"/>
    <w:rsid w:val="00B42112"/>
    <w:rsid w:val="00B435DB"/>
    <w:rsid w:val="00B451D2"/>
    <w:rsid w:val="00B5243C"/>
    <w:rsid w:val="00B54825"/>
    <w:rsid w:val="00B62EEE"/>
    <w:rsid w:val="00B6357D"/>
    <w:rsid w:val="00B63E0B"/>
    <w:rsid w:val="00B73016"/>
    <w:rsid w:val="00B97711"/>
    <w:rsid w:val="00B97928"/>
    <w:rsid w:val="00BA3A9B"/>
    <w:rsid w:val="00BA55C4"/>
    <w:rsid w:val="00BB031B"/>
    <w:rsid w:val="00BC7E53"/>
    <w:rsid w:val="00BD6FA3"/>
    <w:rsid w:val="00BE3B11"/>
    <w:rsid w:val="00C003C0"/>
    <w:rsid w:val="00C12890"/>
    <w:rsid w:val="00C257BC"/>
    <w:rsid w:val="00C3156A"/>
    <w:rsid w:val="00C34378"/>
    <w:rsid w:val="00C34B45"/>
    <w:rsid w:val="00C45D9F"/>
    <w:rsid w:val="00C476B0"/>
    <w:rsid w:val="00C57BFD"/>
    <w:rsid w:val="00C64855"/>
    <w:rsid w:val="00C70A3F"/>
    <w:rsid w:val="00C7664A"/>
    <w:rsid w:val="00C8343E"/>
    <w:rsid w:val="00C96851"/>
    <w:rsid w:val="00C96DC3"/>
    <w:rsid w:val="00CC012F"/>
    <w:rsid w:val="00CC57CD"/>
    <w:rsid w:val="00CE6391"/>
    <w:rsid w:val="00CF18BC"/>
    <w:rsid w:val="00CF72BC"/>
    <w:rsid w:val="00CF742A"/>
    <w:rsid w:val="00D056DB"/>
    <w:rsid w:val="00D05A2B"/>
    <w:rsid w:val="00D126A0"/>
    <w:rsid w:val="00D13645"/>
    <w:rsid w:val="00D222E9"/>
    <w:rsid w:val="00D22EA2"/>
    <w:rsid w:val="00D260FE"/>
    <w:rsid w:val="00D71E45"/>
    <w:rsid w:val="00D94A5D"/>
    <w:rsid w:val="00D94E97"/>
    <w:rsid w:val="00DB05F1"/>
    <w:rsid w:val="00DB17FB"/>
    <w:rsid w:val="00DB1ABE"/>
    <w:rsid w:val="00DB1E5F"/>
    <w:rsid w:val="00DD1315"/>
    <w:rsid w:val="00DD2A52"/>
    <w:rsid w:val="00DE2245"/>
    <w:rsid w:val="00DE25E6"/>
    <w:rsid w:val="00DE6AB5"/>
    <w:rsid w:val="00DF5D23"/>
    <w:rsid w:val="00DF74E7"/>
    <w:rsid w:val="00E12094"/>
    <w:rsid w:val="00E15E88"/>
    <w:rsid w:val="00E254EB"/>
    <w:rsid w:val="00E43715"/>
    <w:rsid w:val="00E44A3D"/>
    <w:rsid w:val="00E4590E"/>
    <w:rsid w:val="00E46221"/>
    <w:rsid w:val="00E51C51"/>
    <w:rsid w:val="00E66DB6"/>
    <w:rsid w:val="00E7379F"/>
    <w:rsid w:val="00E828C8"/>
    <w:rsid w:val="00E82BA8"/>
    <w:rsid w:val="00E84940"/>
    <w:rsid w:val="00E87416"/>
    <w:rsid w:val="00EC0776"/>
    <w:rsid w:val="00EC547F"/>
    <w:rsid w:val="00EC5F03"/>
    <w:rsid w:val="00EF7AD1"/>
    <w:rsid w:val="00F11104"/>
    <w:rsid w:val="00F13F3F"/>
    <w:rsid w:val="00F159A4"/>
    <w:rsid w:val="00F219AE"/>
    <w:rsid w:val="00F27791"/>
    <w:rsid w:val="00F53846"/>
    <w:rsid w:val="00F62341"/>
    <w:rsid w:val="00F63E7A"/>
    <w:rsid w:val="00F74265"/>
    <w:rsid w:val="00F8006C"/>
    <w:rsid w:val="00F841C9"/>
    <w:rsid w:val="00F925C8"/>
    <w:rsid w:val="00F96D81"/>
    <w:rsid w:val="00FA1EB6"/>
    <w:rsid w:val="00FC417C"/>
    <w:rsid w:val="00FC63DA"/>
    <w:rsid w:val="00FD5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13C6D"/>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38540-7D6F-4B40-87F9-AE5E476F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4</Pages>
  <Words>1321</Words>
  <Characters>7269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35</cp:revision>
  <cp:lastPrinted>2018-05-22T18:54:00Z</cp:lastPrinted>
  <dcterms:created xsi:type="dcterms:W3CDTF">2016-10-17T18:56:00Z</dcterms:created>
  <dcterms:modified xsi:type="dcterms:W3CDTF">2018-05-22T18:55:00Z</dcterms:modified>
</cp:coreProperties>
</file>